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7D6D0" w14:textId="77777777" w:rsidR="004F4FDF" w:rsidRDefault="00500DFB">
      <w:pPr>
        <w:pStyle w:val="BodyText"/>
        <w:rPr>
          <w:sz w:val="20"/>
        </w:rPr>
      </w:pPr>
      <w:r>
        <w:rPr>
          <w:noProof/>
        </w:rPr>
        <w:drawing>
          <wp:anchor distT="0" distB="0" distL="0" distR="0" simplePos="0" relativeHeight="251657216" behindDoc="0" locked="0" layoutInCell="1" allowOverlap="1" wp14:anchorId="19353F69" wp14:editId="2ACE4EA7">
            <wp:simplePos x="0" y="0"/>
            <wp:positionH relativeFrom="page">
              <wp:posOffset>6095</wp:posOffset>
            </wp:positionH>
            <wp:positionV relativeFrom="page">
              <wp:posOffset>0</wp:posOffset>
            </wp:positionV>
            <wp:extent cx="472440" cy="100248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72440" cy="10024872"/>
                    </a:xfrm>
                    <a:prstGeom prst="rect">
                      <a:avLst/>
                    </a:prstGeom>
                  </pic:spPr>
                </pic:pic>
              </a:graphicData>
            </a:graphic>
          </wp:anchor>
        </w:drawing>
      </w:r>
    </w:p>
    <w:p w14:paraId="0DF8B7B7" w14:textId="77777777" w:rsidR="004F4FDF" w:rsidRDefault="004F4FDF">
      <w:pPr>
        <w:pStyle w:val="BodyText"/>
        <w:spacing w:before="5"/>
        <w:rPr>
          <w:sz w:val="14"/>
        </w:rPr>
      </w:pPr>
    </w:p>
    <w:p w14:paraId="5415A4FB" w14:textId="12693F4F" w:rsidR="004F4FDF" w:rsidRPr="006228D3" w:rsidRDefault="00500DFB" w:rsidP="00004A70">
      <w:pPr>
        <w:pStyle w:val="BodyText"/>
        <w:ind w:left="1080"/>
        <w:jc w:val="both"/>
        <w:rPr>
          <w:rFonts w:ascii="Arial" w:hAnsi="Arial" w:cs="Arial"/>
          <w:sz w:val="26"/>
        </w:rPr>
      </w:pPr>
      <w:r>
        <w:rPr>
          <w:noProof/>
          <w:sz w:val="20"/>
        </w:rPr>
        <w:drawing>
          <wp:inline distT="0" distB="0" distL="0" distR="0" wp14:anchorId="47AC164A" wp14:editId="2FDFE283">
            <wp:extent cx="1421891" cy="142189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421891" cy="1421892"/>
                    </a:xfrm>
                    <a:prstGeom prst="rect">
                      <a:avLst/>
                    </a:prstGeom>
                  </pic:spPr>
                </pic:pic>
              </a:graphicData>
            </a:graphic>
          </wp:inline>
        </w:drawing>
      </w:r>
    </w:p>
    <w:p w14:paraId="3B0091A4" w14:textId="5F06383B" w:rsidR="00252A67" w:rsidRPr="00252A67" w:rsidRDefault="00252A67" w:rsidP="003245F1">
      <w:pPr>
        <w:ind w:left="1440"/>
        <w:contextualSpacing/>
        <w:jc w:val="center"/>
        <w:rPr>
          <w:rFonts w:ascii="Arial" w:hAnsi="Arial" w:cs="Arial"/>
          <w:i/>
          <w:iCs/>
          <w:w w:val="105"/>
          <w:sz w:val="28"/>
          <w:szCs w:val="28"/>
        </w:rPr>
      </w:pPr>
      <w:r w:rsidRPr="00252A67">
        <w:rPr>
          <w:rFonts w:ascii="Arial" w:hAnsi="Arial" w:cs="Arial"/>
          <w:i/>
          <w:iCs/>
          <w:w w:val="105"/>
          <w:sz w:val="28"/>
          <w:szCs w:val="28"/>
        </w:rPr>
        <w:t>STATE ENVIRONMENTAL POLICY ACT</w:t>
      </w:r>
    </w:p>
    <w:p w14:paraId="0CA80A53" w14:textId="77777777" w:rsidR="00252A67" w:rsidRDefault="00252A67" w:rsidP="003245F1">
      <w:pPr>
        <w:ind w:left="1440"/>
        <w:contextualSpacing/>
        <w:jc w:val="center"/>
        <w:rPr>
          <w:rFonts w:ascii="Arial" w:hAnsi="Arial" w:cs="Arial"/>
          <w:b/>
          <w:bCs/>
          <w:w w:val="105"/>
          <w:sz w:val="32"/>
        </w:rPr>
      </w:pPr>
    </w:p>
    <w:p w14:paraId="5D670939" w14:textId="4BF01FA7" w:rsidR="004F4FDF" w:rsidRPr="00F44750" w:rsidRDefault="00252A67" w:rsidP="003245F1">
      <w:pPr>
        <w:ind w:left="1440"/>
        <w:contextualSpacing/>
        <w:jc w:val="center"/>
        <w:rPr>
          <w:rFonts w:ascii="Arial" w:hAnsi="Arial" w:cs="Arial"/>
          <w:b/>
          <w:bCs/>
          <w:sz w:val="32"/>
        </w:rPr>
      </w:pPr>
      <w:r>
        <w:rPr>
          <w:rFonts w:ascii="Arial" w:hAnsi="Arial" w:cs="Arial"/>
          <w:b/>
          <w:bCs/>
          <w:w w:val="105"/>
          <w:sz w:val="32"/>
        </w:rPr>
        <w:t xml:space="preserve">ADDENDUM TO </w:t>
      </w:r>
      <w:r w:rsidR="003245F1">
        <w:rPr>
          <w:rFonts w:ascii="Arial" w:hAnsi="Arial" w:cs="Arial"/>
          <w:b/>
          <w:bCs/>
          <w:w w:val="105"/>
          <w:sz w:val="32"/>
        </w:rPr>
        <w:t>DETERMINATION OF NONSIGNIFICANCE</w:t>
      </w:r>
    </w:p>
    <w:p w14:paraId="54D9B9F4" w14:textId="2CACFC8D" w:rsidR="004F4FDF" w:rsidRPr="006228D3" w:rsidRDefault="00500DFB" w:rsidP="006228D3">
      <w:pPr>
        <w:pStyle w:val="BodyText"/>
        <w:spacing w:before="230"/>
        <w:ind w:left="1435"/>
        <w:jc w:val="both"/>
        <w:rPr>
          <w:rFonts w:ascii="Arial" w:hAnsi="Arial" w:cs="Arial"/>
        </w:rPr>
      </w:pPr>
      <w:r w:rsidRPr="006228D3">
        <w:rPr>
          <w:rFonts w:ascii="Arial" w:hAnsi="Arial" w:cs="Arial"/>
          <w:b/>
          <w:bCs/>
          <w:w w:val="110"/>
        </w:rPr>
        <w:t>Lead agency:</w:t>
      </w:r>
      <w:r w:rsidRPr="006228D3">
        <w:rPr>
          <w:rFonts w:ascii="Arial" w:hAnsi="Arial" w:cs="Arial"/>
          <w:w w:val="110"/>
        </w:rPr>
        <w:t xml:space="preserve"> </w:t>
      </w:r>
      <w:r w:rsidR="00FC3289">
        <w:rPr>
          <w:rFonts w:ascii="Arial" w:hAnsi="Arial" w:cs="Arial"/>
          <w:w w:val="110"/>
        </w:rPr>
        <w:tab/>
      </w:r>
      <w:r w:rsidRPr="006228D3">
        <w:rPr>
          <w:rFonts w:ascii="Arial" w:hAnsi="Arial" w:cs="Arial"/>
          <w:w w:val="110"/>
        </w:rPr>
        <w:t>City of Kalama</w:t>
      </w:r>
    </w:p>
    <w:p w14:paraId="3FBFB536" w14:textId="77777777" w:rsidR="004F4FDF" w:rsidRPr="006228D3" w:rsidRDefault="004F4FDF" w:rsidP="006228D3">
      <w:pPr>
        <w:pStyle w:val="BodyText"/>
        <w:jc w:val="both"/>
        <w:rPr>
          <w:rFonts w:ascii="Arial" w:hAnsi="Arial" w:cs="Arial"/>
        </w:rPr>
      </w:pPr>
    </w:p>
    <w:p w14:paraId="4FAD93C1" w14:textId="709353A2" w:rsidR="00FC3289" w:rsidRDefault="00500DFB" w:rsidP="00FC3289">
      <w:pPr>
        <w:pStyle w:val="BodyText"/>
        <w:spacing w:line="245" w:lineRule="auto"/>
        <w:ind w:left="3600" w:right="274" w:hanging="2146"/>
        <w:jc w:val="both"/>
        <w:rPr>
          <w:rFonts w:ascii="Arial" w:hAnsi="Arial" w:cs="Arial"/>
          <w:w w:val="105"/>
        </w:rPr>
      </w:pPr>
      <w:r w:rsidRPr="006228D3">
        <w:rPr>
          <w:rFonts w:ascii="Arial" w:hAnsi="Arial" w:cs="Arial"/>
          <w:b/>
          <w:bCs/>
          <w:w w:val="105"/>
        </w:rPr>
        <w:t>Agency Contact:</w:t>
      </w:r>
      <w:r w:rsidRPr="006228D3">
        <w:rPr>
          <w:rFonts w:ascii="Arial" w:hAnsi="Arial" w:cs="Arial"/>
          <w:w w:val="105"/>
        </w:rPr>
        <w:t xml:space="preserve"> </w:t>
      </w:r>
      <w:r w:rsidR="00FC3289">
        <w:rPr>
          <w:rFonts w:ascii="Arial" w:hAnsi="Arial" w:cs="Arial"/>
          <w:w w:val="105"/>
        </w:rPr>
        <w:tab/>
      </w:r>
      <w:r w:rsidRPr="006228D3">
        <w:rPr>
          <w:rFonts w:ascii="Arial" w:hAnsi="Arial" w:cs="Arial"/>
          <w:w w:val="105"/>
        </w:rPr>
        <w:t>John Floyd,</w:t>
      </w:r>
      <w:r w:rsidR="00170E0C">
        <w:rPr>
          <w:rFonts w:ascii="Arial" w:hAnsi="Arial" w:cs="Arial"/>
          <w:w w:val="105"/>
        </w:rPr>
        <w:t xml:space="preserve"> Mackenzie,</w:t>
      </w:r>
      <w:r w:rsidRPr="006228D3">
        <w:rPr>
          <w:rFonts w:ascii="Arial" w:hAnsi="Arial" w:cs="Arial"/>
          <w:w w:val="105"/>
        </w:rPr>
        <w:t xml:space="preserve"> Consulting </w:t>
      </w:r>
      <w:r w:rsidR="00170E0C">
        <w:rPr>
          <w:rFonts w:ascii="Arial" w:hAnsi="Arial" w:cs="Arial"/>
          <w:w w:val="105"/>
        </w:rPr>
        <w:t xml:space="preserve">City </w:t>
      </w:r>
      <w:r w:rsidRPr="006228D3">
        <w:rPr>
          <w:rFonts w:ascii="Arial" w:hAnsi="Arial" w:cs="Arial"/>
          <w:w w:val="105"/>
        </w:rPr>
        <w:t>Planner</w:t>
      </w:r>
    </w:p>
    <w:p w14:paraId="2C382092" w14:textId="2EBC6ABF" w:rsidR="00FC3289" w:rsidRDefault="00361FEA" w:rsidP="00FC3289">
      <w:pPr>
        <w:pStyle w:val="BodyText"/>
        <w:spacing w:line="245" w:lineRule="auto"/>
        <w:ind w:left="3600" w:right="274"/>
        <w:jc w:val="both"/>
        <w:rPr>
          <w:rFonts w:ascii="Arial" w:hAnsi="Arial" w:cs="Arial"/>
          <w:w w:val="105"/>
        </w:rPr>
      </w:pPr>
      <w:hyperlink r:id="rId10" w:history="1">
        <w:r w:rsidR="003245F1" w:rsidRPr="0032382C">
          <w:rPr>
            <w:rStyle w:val="Hyperlink"/>
            <w:rFonts w:ascii="Arial" w:hAnsi="Arial" w:cs="Arial"/>
            <w:w w:val="105"/>
          </w:rPr>
          <w:t>jfloyd@mcknze.com,360-787-7360</w:t>
        </w:r>
      </w:hyperlink>
    </w:p>
    <w:p w14:paraId="38979DDA" w14:textId="1E6BE4E0" w:rsidR="004F4FDF" w:rsidRPr="00FC3289" w:rsidRDefault="00500DFB" w:rsidP="00FC3289">
      <w:pPr>
        <w:pStyle w:val="BodyText"/>
        <w:spacing w:line="245" w:lineRule="auto"/>
        <w:ind w:left="3600" w:right="274"/>
        <w:jc w:val="both"/>
        <w:rPr>
          <w:rFonts w:ascii="Arial" w:hAnsi="Arial" w:cs="Arial"/>
          <w:w w:val="105"/>
        </w:rPr>
      </w:pPr>
      <w:r w:rsidRPr="006228D3">
        <w:rPr>
          <w:rFonts w:ascii="Arial" w:hAnsi="Arial" w:cs="Arial"/>
          <w:w w:val="105"/>
        </w:rPr>
        <w:t xml:space="preserve">195 N. First Street, Kalama, </w:t>
      </w:r>
      <w:r w:rsidRPr="006228D3">
        <w:rPr>
          <w:rFonts w:ascii="Arial" w:hAnsi="Arial" w:cs="Arial"/>
          <w:spacing w:val="3"/>
          <w:w w:val="105"/>
        </w:rPr>
        <w:t>WA</w:t>
      </w:r>
      <w:r w:rsidRPr="006228D3">
        <w:rPr>
          <w:rFonts w:ascii="Arial" w:hAnsi="Arial" w:cs="Arial"/>
          <w:spacing w:val="31"/>
          <w:w w:val="105"/>
        </w:rPr>
        <w:t xml:space="preserve"> </w:t>
      </w:r>
      <w:r w:rsidRPr="006228D3">
        <w:rPr>
          <w:rFonts w:ascii="Arial" w:hAnsi="Arial" w:cs="Arial"/>
          <w:w w:val="105"/>
        </w:rPr>
        <w:t>98625</w:t>
      </w:r>
    </w:p>
    <w:p w14:paraId="2B8F87BE" w14:textId="77777777" w:rsidR="004F4FDF" w:rsidRPr="006228D3" w:rsidRDefault="004F4FDF" w:rsidP="006228D3">
      <w:pPr>
        <w:pStyle w:val="BodyText"/>
        <w:spacing w:before="8"/>
        <w:jc w:val="both"/>
        <w:rPr>
          <w:rFonts w:ascii="Arial" w:hAnsi="Arial" w:cs="Arial"/>
          <w:sz w:val="23"/>
        </w:rPr>
      </w:pPr>
    </w:p>
    <w:p w14:paraId="3C574BCE" w14:textId="045D76A4" w:rsidR="004F4FDF" w:rsidRPr="006228D3" w:rsidRDefault="00500DFB" w:rsidP="00FA51E5">
      <w:pPr>
        <w:pStyle w:val="BodyText"/>
        <w:ind w:left="4500" w:hanging="3060"/>
        <w:jc w:val="both"/>
        <w:rPr>
          <w:rFonts w:ascii="Arial" w:hAnsi="Arial" w:cs="Arial"/>
        </w:rPr>
      </w:pPr>
      <w:r w:rsidRPr="006228D3">
        <w:rPr>
          <w:rFonts w:ascii="Arial" w:hAnsi="Arial" w:cs="Arial"/>
          <w:b/>
          <w:bCs/>
          <w:w w:val="110"/>
        </w:rPr>
        <w:t>Agency File Number:</w:t>
      </w:r>
      <w:r w:rsidRPr="006228D3">
        <w:rPr>
          <w:rFonts w:ascii="Arial" w:hAnsi="Arial" w:cs="Arial"/>
          <w:w w:val="110"/>
        </w:rPr>
        <w:t xml:space="preserve"> </w:t>
      </w:r>
      <w:r w:rsidR="00252A67">
        <w:rPr>
          <w:rFonts w:ascii="Arial" w:hAnsi="Arial" w:cs="Arial"/>
          <w:w w:val="110"/>
        </w:rPr>
        <w:t xml:space="preserve">Third Amendment to </w:t>
      </w:r>
      <w:r w:rsidR="00FA51E5">
        <w:rPr>
          <w:rFonts w:ascii="Arial" w:hAnsi="Arial" w:cs="Arial"/>
          <w:w w:val="110"/>
        </w:rPr>
        <w:t>the East Port Pre-Annexation Development Agreement</w:t>
      </w:r>
    </w:p>
    <w:p w14:paraId="7C03F81F" w14:textId="77777777" w:rsidR="004F4FDF" w:rsidRPr="006228D3" w:rsidRDefault="004F4FDF" w:rsidP="006228D3">
      <w:pPr>
        <w:pStyle w:val="BodyText"/>
        <w:spacing w:before="5"/>
        <w:jc w:val="both"/>
        <w:rPr>
          <w:rFonts w:ascii="Arial" w:hAnsi="Arial" w:cs="Arial"/>
        </w:rPr>
      </w:pPr>
    </w:p>
    <w:p w14:paraId="22A2996B" w14:textId="5A6803F8" w:rsidR="00FC3289" w:rsidRPr="006228D3" w:rsidRDefault="00FC3289" w:rsidP="00FC3289">
      <w:pPr>
        <w:pStyle w:val="BodyText"/>
        <w:spacing w:before="60"/>
        <w:ind w:left="1440"/>
        <w:jc w:val="both"/>
        <w:rPr>
          <w:rFonts w:ascii="Arial" w:hAnsi="Arial" w:cs="Arial"/>
        </w:rPr>
      </w:pPr>
      <w:r w:rsidRPr="00BD58CF">
        <w:rPr>
          <w:rFonts w:ascii="Arial" w:hAnsi="Arial" w:cs="Arial"/>
          <w:b/>
          <w:bCs/>
          <w:w w:val="110"/>
        </w:rPr>
        <w:t>Proponent:</w:t>
      </w:r>
      <w:r w:rsidRPr="006228D3">
        <w:rPr>
          <w:rFonts w:ascii="Arial" w:hAnsi="Arial" w:cs="Arial"/>
          <w:w w:val="110"/>
        </w:rPr>
        <w:t xml:space="preserve"> </w:t>
      </w:r>
      <w:r w:rsidR="00252A67">
        <w:rPr>
          <w:rFonts w:ascii="Arial" w:hAnsi="Arial" w:cs="Arial"/>
          <w:w w:val="110"/>
        </w:rPr>
        <w:t>Port of Kalama and City of Kalama</w:t>
      </w:r>
    </w:p>
    <w:p w14:paraId="23F900DB" w14:textId="77777777" w:rsidR="00FC3289" w:rsidRDefault="00FC3289" w:rsidP="00FD0B4F">
      <w:pPr>
        <w:pStyle w:val="BodyText"/>
        <w:spacing w:line="242" w:lineRule="auto"/>
        <w:ind w:left="1440" w:right="181"/>
        <w:jc w:val="both"/>
        <w:rPr>
          <w:rFonts w:ascii="Arial" w:hAnsi="Arial" w:cs="Arial"/>
          <w:b/>
          <w:bCs/>
          <w:spacing w:val="-3"/>
          <w:w w:val="110"/>
        </w:rPr>
      </w:pPr>
    </w:p>
    <w:p w14:paraId="064EA1E9" w14:textId="55D49A46" w:rsidR="00FA51E5" w:rsidRDefault="00500DFB" w:rsidP="00FD0B4F">
      <w:pPr>
        <w:pStyle w:val="BodyText"/>
        <w:spacing w:line="242" w:lineRule="auto"/>
        <w:ind w:left="1440" w:right="181"/>
        <w:jc w:val="both"/>
        <w:rPr>
          <w:rFonts w:ascii="Arial" w:hAnsi="Arial" w:cs="Arial"/>
          <w:w w:val="110"/>
        </w:rPr>
      </w:pPr>
      <w:r w:rsidRPr="006228D3">
        <w:rPr>
          <w:rFonts w:ascii="Arial" w:hAnsi="Arial" w:cs="Arial"/>
          <w:b/>
          <w:bCs/>
          <w:spacing w:val="-3"/>
          <w:w w:val="110"/>
        </w:rPr>
        <w:t xml:space="preserve">Description </w:t>
      </w:r>
      <w:r w:rsidRPr="006228D3">
        <w:rPr>
          <w:rFonts w:ascii="Arial" w:hAnsi="Arial" w:cs="Arial"/>
          <w:b/>
          <w:bCs/>
          <w:w w:val="110"/>
        </w:rPr>
        <w:t xml:space="preserve">of </w:t>
      </w:r>
      <w:r w:rsidR="00F238D9">
        <w:rPr>
          <w:rFonts w:ascii="Arial" w:hAnsi="Arial" w:cs="Arial"/>
          <w:b/>
          <w:bCs/>
          <w:w w:val="110"/>
        </w:rPr>
        <w:t>O</w:t>
      </w:r>
      <w:r w:rsidR="00FA51E5">
        <w:rPr>
          <w:rFonts w:ascii="Arial" w:hAnsi="Arial" w:cs="Arial"/>
          <w:b/>
          <w:bCs/>
          <w:w w:val="110"/>
        </w:rPr>
        <w:t xml:space="preserve">riginal </w:t>
      </w:r>
      <w:r w:rsidR="00F238D9">
        <w:rPr>
          <w:rFonts w:ascii="Arial" w:hAnsi="Arial" w:cs="Arial"/>
          <w:b/>
          <w:bCs/>
          <w:spacing w:val="-3"/>
          <w:w w:val="110"/>
        </w:rPr>
        <w:t>P</w:t>
      </w:r>
      <w:r w:rsidRPr="006228D3">
        <w:rPr>
          <w:rFonts w:ascii="Arial" w:hAnsi="Arial" w:cs="Arial"/>
          <w:b/>
          <w:bCs/>
          <w:spacing w:val="-3"/>
          <w:w w:val="110"/>
        </w:rPr>
        <w:t>roposal</w:t>
      </w:r>
      <w:r w:rsidRPr="0028477C">
        <w:rPr>
          <w:rFonts w:ascii="Arial" w:hAnsi="Arial" w:cs="Arial"/>
          <w:b/>
          <w:bCs/>
          <w:spacing w:val="-3"/>
          <w:w w:val="110"/>
        </w:rPr>
        <w:t>:</w:t>
      </w:r>
      <w:r w:rsidRPr="0028477C">
        <w:rPr>
          <w:rFonts w:ascii="Arial" w:hAnsi="Arial" w:cs="Arial"/>
          <w:spacing w:val="-3"/>
          <w:w w:val="110"/>
        </w:rPr>
        <w:t xml:space="preserve"> </w:t>
      </w:r>
      <w:r w:rsidR="00FA51E5" w:rsidRPr="00FA51E5">
        <w:rPr>
          <w:rFonts w:ascii="Arial" w:hAnsi="Arial" w:cs="Arial"/>
          <w:w w:val="110"/>
        </w:rPr>
        <w:t>Second Amendment to the East Port Pre-Annexation Development Agreement to add ten additional properties located north and south of Kalama River Road. All of the properties are owned by the Port of Kalama, and all are within City of Kalama jurisdiction</w:t>
      </w:r>
      <w:r w:rsidR="00FA51E5">
        <w:rPr>
          <w:rFonts w:ascii="Arial" w:hAnsi="Arial" w:cs="Arial"/>
          <w:w w:val="110"/>
        </w:rPr>
        <w:t>.</w:t>
      </w:r>
    </w:p>
    <w:p w14:paraId="2D821964" w14:textId="77777777" w:rsidR="00FA51E5" w:rsidRDefault="00FA51E5" w:rsidP="00FD0B4F">
      <w:pPr>
        <w:pStyle w:val="BodyText"/>
        <w:spacing w:line="242" w:lineRule="auto"/>
        <w:ind w:left="1440" w:right="181"/>
        <w:jc w:val="both"/>
        <w:rPr>
          <w:rFonts w:ascii="Arial" w:hAnsi="Arial" w:cs="Arial"/>
          <w:w w:val="110"/>
        </w:rPr>
      </w:pPr>
    </w:p>
    <w:p w14:paraId="3C2B86E0" w14:textId="6C5FC91A" w:rsidR="00FA51E5" w:rsidRPr="00FA51E5" w:rsidRDefault="00FA51E5" w:rsidP="00FA51E5">
      <w:pPr>
        <w:pStyle w:val="BodyText"/>
        <w:spacing w:line="242" w:lineRule="auto"/>
        <w:ind w:left="1440" w:right="181"/>
        <w:jc w:val="both"/>
        <w:rPr>
          <w:rFonts w:ascii="Arial" w:hAnsi="Arial" w:cs="Arial"/>
          <w:color w:val="FF0000"/>
          <w:w w:val="110"/>
        </w:rPr>
      </w:pPr>
      <w:r w:rsidRPr="00FA51E5">
        <w:rPr>
          <w:rFonts w:ascii="Arial" w:hAnsi="Arial" w:cs="Arial"/>
          <w:b/>
          <w:bCs/>
          <w:color w:val="FF0000"/>
          <w:spacing w:val="-3"/>
          <w:w w:val="110"/>
        </w:rPr>
        <w:t xml:space="preserve">Description </w:t>
      </w:r>
      <w:r w:rsidRPr="00FA51E5">
        <w:rPr>
          <w:rFonts w:ascii="Arial" w:hAnsi="Arial" w:cs="Arial"/>
          <w:b/>
          <w:bCs/>
          <w:color w:val="FF0000"/>
          <w:w w:val="110"/>
        </w:rPr>
        <w:t xml:space="preserve">of </w:t>
      </w:r>
      <w:r w:rsidR="00E27038">
        <w:rPr>
          <w:rFonts w:ascii="Arial" w:hAnsi="Arial" w:cs="Arial"/>
          <w:b/>
          <w:bCs/>
          <w:color w:val="FF0000"/>
          <w:spacing w:val="-3"/>
          <w:w w:val="110"/>
        </w:rPr>
        <w:t>A</w:t>
      </w:r>
      <w:r w:rsidRPr="00FA51E5">
        <w:rPr>
          <w:rFonts w:ascii="Arial" w:hAnsi="Arial" w:cs="Arial"/>
          <w:b/>
          <w:bCs/>
          <w:color w:val="FF0000"/>
          <w:spacing w:val="-3"/>
          <w:w w:val="110"/>
        </w:rPr>
        <w:t>ddendum</w:t>
      </w:r>
      <w:r w:rsidRPr="00FA51E5">
        <w:rPr>
          <w:rFonts w:ascii="Arial" w:hAnsi="Arial" w:cs="Arial"/>
          <w:b/>
          <w:bCs/>
          <w:color w:val="FF0000"/>
          <w:spacing w:val="-3"/>
          <w:w w:val="110"/>
        </w:rPr>
        <w:t>:</w:t>
      </w:r>
      <w:r w:rsidRPr="00FA51E5">
        <w:rPr>
          <w:rFonts w:ascii="Arial" w:hAnsi="Arial" w:cs="Arial"/>
          <w:color w:val="FF0000"/>
          <w:spacing w:val="-3"/>
          <w:w w:val="110"/>
        </w:rPr>
        <w:t xml:space="preserve"> </w:t>
      </w:r>
      <w:r w:rsidR="00361FEA">
        <w:rPr>
          <w:rFonts w:ascii="Arial" w:hAnsi="Arial" w:cs="Arial"/>
          <w:color w:val="FF0000"/>
          <w:spacing w:val="-3"/>
          <w:w w:val="110"/>
        </w:rPr>
        <w:t>Modification of the</w:t>
      </w:r>
      <w:r w:rsidR="00075CE1">
        <w:rPr>
          <w:rFonts w:ascii="Arial" w:hAnsi="Arial" w:cs="Arial"/>
          <w:color w:val="FF0000"/>
          <w:spacing w:val="-3"/>
          <w:w w:val="110"/>
        </w:rPr>
        <w:t xml:space="preserve"> 2019 DNS to </w:t>
      </w:r>
      <w:r w:rsidR="00361FEA">
        <w:rPr>
          <w:rFonts w:ascii="Arial" w:hAnsi="Arial" w:cs="Arial"/>
          <w:color w:val="FF0000"/>
          <w:spacing w:val="-3"/>
          <w:w w:val="110"/>
        </w:rPr>
        <w:t xml:space="preserve">account for </w:t>
      </w:r>
      <w:r w:rsidR="00075CE1">
        <w:rPr>
          <w:rFonts w:ascii="Arial" w:hAnsi="Arial" w:cs="Arial"/>
          <w:color w:val="FF0000"/>
          <w:spacing w:val="-3"/>
          <w:w w:val="110"/>
        </w:rPr>
        <w:t>a</w:t>
      </w:r>
      <w:r w:rsidR="00004A70">
        <w:rPr>
          <w:rFonts w:ascii="Arial" w:hAnsi="Arial" w:cs="Arial"/>
          <w:color w:val="FF0000"/>
          <w:spacing w:val="-3"/>
          <w:w w:val="110"/>
        </w:rPr>
        <w:t xml:space="preserve"> </w:t>
      </w:r>
      <w:r w:rsidR="00361FEA">
        <w:rPr>
          <w:rFonts w:ascii="Arial" w:hAnsi="Arial" w:cs="Arial"/>
          <w:color w:val="FF0000"/>
          <w:w w:val="110"/>
        </w:rPr>
        <w:t>t</w:t>
      </w:r>
      <w:r w:rsidRPr="00FA51E5">
        <w:rPr>
          <w:rFonts w:ascii="Arial" w:hAnsi="Arial" w:cs="Arial"/>
          <w:color w:val="FF0000"/>
          <w:w w:val="110"/>
        </w:rPr>
        <w:t xml:space="preserve">hird </w:t>
      </w:r>
      <w:r w:rsidR="00361FEA">
        <w:rPr>
          <w:rFonts w:ascii="Arial" w:hAnsi="Arial" w:cs="Arial"/>
          <w:color w:val="FF0000"/>
          <w:w w:val="110"/>
        </w:rPr>
        <w:t>a</w:t>
      </w:r>
      <w:r w:rsidRPr="00FA51E5">
        <w:rPr>
          <w:rFonts w:ascii="Arial" w:hAnsi="Arial" w:cs="Arial"/>
          <w:color w:val="FF0000"/>
          <w:w w:val="110"/>
        </w:rPr>
        <w:t>mendment to the East Port Pre-Annexation Development Agreement</w:t>
      </w:r>
      <w:r w:rsidR="00361FEA">
        <w:rPr>
          <w:rFonts w:ascii="Arial" w:hAnsi="Arial" w:cs="Arial"/>
          <w:color w:val="FF0000"/>
          <w:w w:val="110"/>
        </w:rPr>
        <w:t>, originally approved in 2014</w:t>
      </w:r>
      <w:r w:rsidR="00075CE1">
        <w:rPr>
          <w:rFonts w:ascii="Arial" w:hAnsi="Arial" w:cs="Arial"/>
          <w:color w:val="FF0000"/>
          <w:w w:val="110"/>
        </w:rPr>
        <w:t xml:space="preserve">.  This third amendment would </w:t>
      </w:r>
      <w:r w:rsidRPr="00FA51E5">
        <w:rPr>
          <w:rFonts w:ascii="Arial" w:hAnsi="Arial" w:cs="Arial"/>
          <w:color w:val="FF0000"/>
          <w:w w:val="110"/>
        </w:rPr>
        <w:t>add one additional property</w:t>
      </w:r>
      <w:r w:rsidR="00075CE1">
        <w:rPr>
          <w:rFonts w:ascii="Arial" w:hAnsi="Arial" w:cs="Arial"/>
          <w:color w:val="FF0000"/>
          <w:w w:val="110"/>
        </w:rPr>
        <w:t xml:space="preserve"> located</w:t>
      </w:r>
      <w:r w:rsidRPr="00FA51E5">
        <w:rPr>
          <w:rFonts w:ascii="Arial" w:hAnsi="Arial" w:cs="Arial"/>
          <w:color w:val="FF0000"/>
          <w:w w:val="110"/>
        </w:rPr>
        <w:t xml:space="preserve"> </w:t>
      </w:r>
      <w:r>
        <w:rPr>
          <w:rFonts w:ascii="Arial" w:hAnsi="Arial" w:cs="Arial"/>
          <w:color w:val="FF0000"/>
          <w:w w:val="110"/>
        </w:rPr>
        <w:t>adjacent to land</w:t>
      </w:r>
      <w:r w:rsidR="00E27038">
        <w:rPr>
          <w:rFonts w:ascii="Arial" w:hAnsi="Arial" w:cs="Arial"/>
          <w:color w:val="FF0000"/>
          <w:w w:val="110"/>
        </w:rPr>
        <w:t>s</w:t>
      </w:r>
      <w:r>
        <w:rPr>
          <w:rFonts w:ascii="Arial" w:hAnsi="Arial" w:cs="Arial"/>
          <w:color w:val="FF0000"/>
          <w:w w:val="110"/>
        </w:rPr>
        <w:t xml:space="preserve"> already </w:t>
      </w:r>
      <w:r w:rsidR="00075CE1">
        <w:rPr>
          <w:rFonts w:ascii="Arial" w:hAnsi="Arial" w:cs="Arial"/>
          <w:color w:val="FF0000"/>
          <w:w w:val="110"/>
        </w:rPr>
        <w:t xml:space="preserve">subject to </w:t>
      </w:r>
      <w:r>
        <w:rPr>
          <w:rFonts w:ascii="Arial" w:hAnsi="Arial" w:cs="Arial"/>
          <w:color w:val="FF0000"/>
          <w:w w:val="110"/>
        </w:rPr>
        <w:t>agreement</w:t>
      </w:r>
      <w:r w:rsidR="00004A70">
        <w:rPr>
          <w:rFonts w:ascii="Arial" w:hAnsi="Arial" w:cs="Arial"/>
          <w:color w:val="FF0000"/>
          <w:w w:val="110"/>
        </w:rPr>
        <w:t>.</w:t>
      </w:r>
      <w:r w:rsidR="00361FEA">
        <w:rPr>
          <w:rFonts w:ascii="Arial" w:hAnsi="Arial" w:cs="Arial"/>
          <w:color w:val="FF0000"/>
          <w:w w:val="110"/>
        </w:rPr>
        <w:t xml:space="preserve"> </w:t>
      </w:r>
      <w:r w:rsidR="00004A70">
        <w:rPr>
          <w:rFonts w:ascii="Arial" w:hAnsi="Arial" w:cs="Arial"/>
          <w:color w:val="FF0000"/>
          <w:w w:val="110"/>
        </w:rPr>
        <w:t>A supplemental SEPA checklist has been prepared addressing the new parcel</w:t>
      </w:r>
      <w:r w:rsidR="00361FEA">
        <w:rPr>
          <w:rFonts w:ascii="Arial" w:hAnsi="Arial" w:cs="Arial"/>
          <w:color w:val="FF0000"/>
          <w:w w:val="110"/>
        </w:rPr>
        <w:t xml:space="preserve"> and no new environmental information or potential impacts were identified</w:t>
      </w:r>
      <w:r w:rsidR="00004A70">
        <w:rPr>
          <w:rFonts w:ascii="Arial" w:hAnsi="Arial" w:cs="Arial"/>
          <w:color w:val="FF0000"/>
          <w:w w:val="110"/>
        </w:rPr>
        <w:t xml:space="preserve">. </w:t>
      </w:r>
      <w:r w:rsidRPr="00FA51E5">
        <w:rPr>
          <w:rFonts w:ascii="Arial" w:hAnsi="Arial" w:cs="Arial"/>
          <w:color w:val="FF0000"/>
          <w:w w:val="110"/>
        </w:rPr>
        <w:t>The property is owned by the Port of Kalama and within City of Kalama jurisdiction</w:t>
      </w:r>
      <w:r w:rsidR="00455B74">
        <w:rPr>
          <w:rFonts w:ascii="Arial" w:hAnsi="Arial" w:cs="Arial"/>
          <w:color w:val="FF0000"/>
          <w:w w:val="110"/>
        </w:rPr>
        <w:t>.</w:t>
      </w:r>
    </w:p>
    <w:p w14:paraId="392A09F2" w14:textId="77777777" w:rsidR="004F4FDF" w:rsidRPr="00BD58CF" w:rsidRDefault="004F4FDF" w:rsidP="006228D3">
      <w:pPr>
        <w:pStyle w:val="BodyText"/>
        <w:spacing w:before="6"/>
        <w:jc w:val="both"/>
        <w:rPr>
          <w:rFonts w:ascii="Arial" w:hAnsi="Arial" w:cs="Arial"/>
          <w:b/>
          <w:bCs/>
        </w:rPr>
      </w:pPr>
    </w:p>
    <w:p w14:paraId="49269912" w14:textId="4D4DA705" w:rsidR="00F44750" w:rsidRPr="00170E0C" w:rsidRDefault="00500DFB" w:rsidP="006228D3">
      <w:pPr>
        <w:pStyle w:val="BodyText"/>
        <w:spacing w:line="244" w:lineRule="auto"/>
        <w:ind w:left="1440" w:right="181"/>
        <w:jc w:val="both"/>
        <w:rPr>
          <w:rFonts w:ascii="Arial" w:hAnsi="Arial" w:cs="Arial"/>
          <w:w w:val="110"/>
          <w:highlight w:val="yellow"/>
        </w:rPr>
      </w:pPr>
      <w:r w:rsidRPr="00BD58CF">
        <w:rPr>
          <w:rFonts w:ascii="Arial" w:hAnsi="Arial" w:cs="Arial"/>
          <w:b/>
          <w:bCs/>
          <w:w w:val="110"/>
        </w:rPr>
        <w:t xml:space="preserve">Location </w:t>
      </w:r>
      <w:r w:rsidRPr="00FA51E5">
        <w:rPr>
          <w:rFonts w:ascii="Arial" w:hAnsi="Arial" w:cs="Arial"/>
          <w:b/>
          <w:bCs/>
          <w:w w:val="110"/>
        </w:rPr>
        <w:t>of proposal:</w:t>
      </w:r>
      <w:r w:rsidRPr="00FA51E5">
        <w:rPr>
          <w:rFonts w:ascii="Arial" w:hAnsi="Arial" w:cs="Arial"/>
          <w:w w:val="110"/>
        </w:rPr>
        <w:t xml:space="preserve"> </w:t>
      </w:r>
      <w:r w:rsidR="00FA51E5" w:rsidRPr="00FA51E5">
        <w:rPr>
          <w:rFonts w:ascii="Arial" w:hAnsi="Arial" w:cs="Arial"/>
          <w:w w:val="110"/>
        </w:rPr>
        <w:t>5035 Meeker Drive</w:t>
      </w:r>
      <w:r w:rsidR="00F44750" w:rsidRPr="00FA51E5">
        <w:rPr>
          <w:rFonts w:ascii="Arial" w:hAnsi="Arial" w:cs="Arial"/>
          <w:w w:val="110"/>
        </w:rPr>
        <w:t xml:space="preserve"> in Kalama, Washingto</w:t>
      </w:r>
      <w:r w:rsidR="00FA51E5" w:rsidRPr="00FA51E5">
        <w:rPr>
          <w:rFonts w:ascii="Arial" w:hAnsi="Arial" w:cs="Arial"/>
          <w:w w:val="110"/>
        </w:rPr>
        <w:t>n</w:t>
      </w:r>
      <w:r w:rsidR="00F44750" w:rsidRPr="00FA51E5">
        <w:rPr>
          <w:rFonts w:ascii="Arial" w:hAnsi="Arial" w:cs="Arial"/>
          <w:w w:val="110"/>
        </w:rPr>
        <w:t>.</w:t>
      </w:r>
      <w:r w:rsidR="003245F1" w:rsidRPr="00FA51E5">
        <w:rPr>
          <w:rFonts w:ascii="Arial" w:hAnsi="Arial" w:cs="Arial"/>
          <w:w w:val="110"/>
        </w:rPr>
        <w:t xml:space="preserve"> </w:t>
      </w:r>
      <w:r w:rsidR="00F44750" w:rsidRPr="00FA51E5">
        <w:rPr>
          <w:rFonts w:ascii="Arial" w:hAnsi="Arial" w:cs="Arial"/>
          <w:w w:val="110"/>
        </w:rPr>
        <w:t xml:space="preserve">Cowlitz County Assessor Parcel Number </w:t>
      </w:r>
      <w:r w:rsidR="00FA51E5" w:rsidRPr="00FA51E5">
        <w:rPr>
          <w:rFonts w:ascii="Arial" w:hAnsi="Arial" w:cs="Arial"/>
          <w:w w:val="110"/>
        </w:rPr>
        <w:t>412220139</w:t>
      </w:r>
      <w:r w:rsidR="00F44750" w:rsidRPr="00FA51E5">
        <w:rPr>
          <w:rFonts w:ascii="Arial" w:hAnsi="Arial" w:cs="Arial"/>
          <w:w w:val="110"/>
        </w:rPr>
        <w:t>.</w:t>
      </w:r>
      <w:r w:rsidR="00FA51E5" w:rsidRPr="00FA51E5">
        <w:rPr>
          <w:rFonts w:ascii="Arial" w:hAnsi="Arial" w:cs="Arial"/>
          <w:w w:val="110"/>
        </w:rPr>
        <w:t xml:space="preserve"> </w:t>
      </w:r>
      <w:r w:rsidR="00F44750" w:rsidRPr="00FA51E5">
        <w:rPr>
          <w:rFonts w:ascii="Arial" w:hAnsi="Arial" w:cs="Arial"/>
          <w:w w:val="110"/>
        </w:rPr>
        <w:t>Within</w:t>
      </w:r>
      <w:r w:rsidR="0028477C" w:rsidRPr="00FA51E5">
        <w:rPr>
          <w:rFonts w:ascii="Arial" w:hAnsi="Arial" w:cs="Arial"/>
          <w:w w:val="110"/>
        </w:rPr>
        <w:t xml:space="preserve"> a portion of Section </w:t>
      </w:r>
      <w:r w:rsidR="00FA51E5" w:rsidRPr="00FA51E5">
        <w:rPr>
          <w:rFonts w:ascii="Arial" w:hAnsi="Arial" w:cs="Arial"/>
          <w:w w:val="110"/>
        </w:rPr>
        <w:t>6</w:t>
      </w:r>
      <w:r w:rsidR="0028477C" w:rsidRPr="00FA51E5">
        <w:rPr>
          <w:rFonts w:ascii="Arial" w:hAnsi="Arial" w:cs="Arial"/>
          <w:w w:val="110"/>
        </w:rPr>
        <w:t>, Township 6 North, Range 1 West of the</w:t>
      </w:r>
      <w:r w:rsidR="00F44750" w:rsidRPr="00FA51E5">
        <w:rPr>
          <w:rFonts w:ascii="Arial" w:hAnsi="Arial" w:cs="Arial"/>
          <w:w w:val="110"/>
        </w:rPr>
        <w:t xml:space="preserve"> Willamette Meridian.</w:t>
      </w:r>
    </w:p>
    <w:p w14:paraId="6A9E6700" w14:textId="77777777" w:rsidR="004F4FDF" w:rsidRPr="006228D3" w:rsidRDefault="004F4FDF" w:rsidP="006228D3">
      <w:pPr>
        <w:pStyle w:val="BodyText"/>
        <w:spacing w:before="11"/>
        <w:jc w:val="both"/>
        <w:rPr>
          <w:rFonts w:ascii="Arial" w:hAnsi="Arial" w:cs="Arial"/>
          <w:sz w:val="23"/>
        </w:rPr>
      </w:pPr>
    </w:p>
    <w:p w14:paraId="4BBB2625" w14:textId="3B910726" w:rsidR="003245F1" w:rsidRPr="003245F1" w:rsidRDefault="003245F1" w:rsidP="006228D3">
      <w:pPr>
        <w:pStyle w:val="BodyText"/>
        <w:ind w:left="1440"/>
        <w:jc w:val="both"/>
        <w:rPr>
          <w:rFonts w:ascii="Arial" w:hAnsi="Arial" w:cs="Arial"/>
          <w:b/>
          <w:bCs/>
          <w:w w:val="110"/>
        </w:rPr>
      </w:pPr>
      <w:r w:rsidRPr="0028477C">
        <w:rPr>
          <w:rFonts w:ascii="Arial" w:hAnsi="Arial" w:cs="Arial"/>
          <w:b/>
          <w:bCs/>
          <w:w w:val="110"/>
        </w:rPr>
        <w:t xml:space="preserve">Zoning: </w:t>
      </w:r>
      <w:r w:rsidR="00252A67">
        <w:rPr>
          <w:rFonts w:ascii="Arial" w:hAnsi="Arial" w:cs="Arial"/>
          <w:w w:val="110"/>
        </w:rPr>
        <w:t>Mixed Use</w:t>
      </w:r>
    </w:p>
    <w:p w14:paraId="2835F226" w14:textId="77777777" w:rsidR="003245F1" w:rsidRDefault="003245F1" w:rsidP="006228D3">
      <w:pPr>
        <w:pStyle w:val="BodyText"/>
        <w:ind w:left="1440"/>
        <w:jc w:val="both"/>
        <w:rPr>
          <w:rFonts w:ascii="Arial" w:hAnsi="Arial" w:cs="Arial"/>
          <w:w w:val="110"/>
        </w:rPr>
      </w:pPr>
    </w:p>
    <w:p w14:paraId="672F0ADD" w14:textId="064EE6F0" w:rsidR="00E654D9" w:rsidRPr="006228D3" w:rsidRDefault="00500DFB" w:rsidP="00252A67">
      <w:pPr>
        <w:pStyle w:val="BodyText"/>
        <w:ind w:left="1440"/>
        <w:jc w:val="both"/>
        <w:rPr>
          <w:rFonts w:ascii="Arial" w:hAnsi="Arial" w:cs="Arial"/>
        </w:rPr>
      </w:pPr>
      <w:r w:rsidRPr="006228D3">
        <w:rPr>
          <w:rFonts w:ascii="Arial" w:hAnsi="Arial" w:cs="Arial"/>
          <w:w w:val="110"/>
        </w:rPr>
        <w:t xml:space="preserve">City of </w:t>
      </w:r>
      <w:r w:rsidRPr="006228D3">
        <w:rPr>
          <w:rFonts w:ascii="Arial" w:hAnsi="Arial" w:cs="Arial"/>
          <w:spacing w:val="-3"/>
          <w:w w:val="110"/>
        </w:rPr>
        <w:t xml:space="preserve">Kalama </w:t>
      </w:r>
      <w:r w:rsidRPr="006228D3">
        <w:rPr>
          <w:rFonts w:ascii="Arial" w:hAnsi="Arial" w:cs="Arial"/>
          <w:spacing w:val="-2"/>
          <w:w w:val="110"/>
        </w:rPr>
        <w:t xml:space="preserve">has </w:t>
      </w:r>
      <w:r w:rsidRPr="006228D3">
        <w:rPr>
          <w:rFonts w:ascii="Arial" w:hAnsi="Arial" w:cs="Arial"/>
          <w:spacing w:val="-3"/>
          <w:w w:val="110"/>
        </w:rPr>
        <w:t xml:space="preserve">affirmed </w:t>
      </w:r>
      <w:r w:rsidRPr="006228D3">
        <w:rPr>
          <w:rFonts w:ascii="Arial" w:hAnsi="Arial" w:cs="Arial"/>
          <w:w w:val="110"/>
        </w:rPr>
        <w:t xml:space="preserve">that this </w:t>
      </w:r>
      <w:r w:rsidRPr="006228D3">
        <w:rPr>
          <w:rFonts w:ascii="Arial" w:hAnsi="Arial" w:cs="Arial"/>
          <w:spacing w:val="-3"/>
          <w:w w:val="110"/>
        </w:rPr>
        <w:t xml:space="preserve">proposal </w:t>
      </w:r>
      <w:r w:rsidRPr="006228D3">
        <w:rPr>
          <w:rFonts w:ascii="Arial" w:hAnsi="Arial" w:cs="Arial"/>
          <w:w w:val="110"/>
        </w:rPr>
        <w:t xml:space="preserve">will not have a </w:t>
      </w:r>
      <w:r w:rsidRPr="006228D3">
        <w:rPr>
          <w:rFonts w:ascii="Arial" w:hAnsi="Arial" w:cs="Arial"/>
          <w:spacing w:val="-3"/>
          <w:w w:val="110"/>
        </w:rPr>
        <w:t xml:space="preserve">probable significant adverse </w:t>
      </w:r>
      <w:r w:rsidRPr="006228D3">
        <w:rPr>
          <w:rFonts w:ascii="Arial" w:hAnsi="Arial" w:cs="Arial"/>
          <w:w w:val="110"/>
        </w:rPr>
        <w:t xml:space="preserve">impact on the </w:t>
      </w:r>
      <w:r w:rsidRPr="006228D3">
        <w:rPr>
          <w:rFonts w:ascii="Arial" w:hAnsi="Arial" w:cs="Arial"/>
          <w:spacing w:val="-3"/>
          <w:w w:val="110"/>
        </w:rPr>
        <w:t xml:space="preserve">environment. </w:t>
      </w:r>
      <w:r w:rsidRPr="006228D3">
        <w:rPr>
          <w:rFonts w:ascii="Arial" w:hAnsi="Arial" w:cs="Arial"/>
          <w:w w:val="110"/>
        </w:rPr>
        <w:t xml:space="preserve">An </w:t>
      </w:r>
      <w:r w:rsidRPr="006228D3">
        <w:rPr>
          <w:rFonts w:ascii="Arial" w:hAnsi="Arial" w:cs="Arial"/>
          <w:spacing w:val="-3"/>
          <w:w w:val="110"/>
        </w:rPr>
        <w:t xml:space="preserve">environmental </w:t>
      </w:r>
      <w:r w:rsidRPr="006228D3">
        <w:rPr>
          <w:rFonts w:ascii="Arial" w:hAnsi="Arial" w:cs="Arial"/>
          <w:w w:val="110"/>
        </w:rPr>
        <w:t xml:space="preserve">impact </w:t>
      </w:r>
      <w:r w:rsidRPr="006228D3">
        <w:rPr>
          <w:rFonts w:ascii="Arial" w:hAnsi="Arial" w:cs="Arial"/>
          <w:spacing w:val="-3"/>
          <w:w w:val="110"/>
        </w:rPr>
        <w:t xml:space="preserve">statement </w:t>
      </w:r>
      <w:r w:rsidRPr="006228D3">
        <w:rPr>
          <w:rFonts w:ascii="Arial" w:hAnsi="Arial" w:cs="Arial"/>
          <w:w w:val="110"/>
        </w:rPr>
        <w:t xml:space="preserve">(EIS) is not </w:t>
      </w:r>
      <w:r w:rsidRPr="006228D3">
        <w:rPr>
          <w:rFonts w:ascii="Arial" w:hAnsi="Arial" w:cs="Arial"/>
          <w:spacing w:val="-3"/>
          <w:w w:val="110"/>
        </w:rPr>
        <w:t xml:space="preserve">required </w:t>
      </w:r>
      <w:r w:rsidRPr="006228D3">
        <w:rPr>
          <w:rFonts w:ascii="Arial" w:hAnsi="Arial" w:cs="Arial"/>
          <w:w w:val="110"/>
        </w:rPr>
        <w:t xml:space="preserve">under RCW </w:t>
      </w:r>
      <w:r w:rsidRPr="006228D3">
        <w:rPr>
          <w:rFonts w:ascii="Arial" w:hAnsi="Arial" w:cs="Arial"/>
          <w:spacing w:val="-4"/>
          <w:w w:val="110"/>
        </w:rPr>
        <w:t>43.21C.030(2)(c).</w:t>
      </w:r>
      <w:r w:rsidR="00455B74">
        <w:rPr>
          <w:rFonts w:ascii="Arial" w:hAnsi="Arial" w:cs="Arial"/>
          <w:spacing w:val="-4"/>
          <w:w w:val="110"/>
        </w:rPr>
        <w:t xml:space="preserve"> </w:t>
      </w:r>
      <w:r w:rsidRPr="006228D3">
        <w:rPr>
          <w:rFonts w:ascii="Arial" w:hAnsi="Arial" w:cs="Arial"/>
          <w:w w:val="105"/>
        </w:rPr>
        <w:t>This det</w:t>
      </w:r>
      <w:r w:rsidR="00FD0B4F">
        <w:rPr>
          <w:rFonts w:ascii="Arial" w:hAnsi="Arial" w:cs="Arial"/>
          <w:w w:val="105"/>
        </w:rPr>
        <w:t xml:space="preserve">ermination was made after review of a completed environmental checklist and other information on file with the lead agency. This information is available to the public </w:t>
      </w:r>
      <w:r w:rsidR="00A6056F">
        <w:rPr>
          <w:rFonts w:ascii="Arial" w:hAnsi="Arial" w:cs="Arial"/>
          <w:w w:val="105"/>
        </w:rPr>
        <w:t>at city hall up</w:t>
      </w:r>
      <w:r w:rsidR="00FD0B4F">
        <w:rPr>
          <w:rFonts w:ascii="Arial" w:hAnsi="Arial" w:cs="Arial"/>
          <w:w w:val="105"/>
        </w:rPr>
        <w:t>on request.</w:t>
      </w:r>
      <w:r w:rsidR="00E654D9" w:rsidRPr="00E654D9">
        <w:rPr>
          <w:rFonts w:ascii="Arial" w:hAnsi="Arial" w:cs="Arial"/>
          <w:w w:val="105"/>
        </w:rPr>
        <w:t xml:space="preserve"> </w:t>
      </w:r>
      <w:r w:rsidR="00E654D9" w:rsidRPr="006228D3">
        <w:rPr>
          <w:rFonts w:ascii="Arial" w:hAnsi="Arial" w:cs="Arial"/>
          <w:w w:val="105"/>
        </w:rPr>
        <w:t xml:space="preserve">Comments must be submitted by </w:t>
      </w:r>
      <w:r w:rsidR="00252A67">
        <w:rPr>
          <w:rFonts w:ascii="Arial" w:hAnsi="Arial" w:cs="Arial"/>
          <w:w w:val="105"/>
          <w:u w:val="thick"/>
        </w:rPr>
        <w:t>March 23, 2021</w:t>
      </w:r>
      <w:r w:rsidR="00E654D9" w:rsidRPr="008B77A1">
        <w:rPr>
          <w:rFonts w:ascii="Arial" w:hAnsi="Arial" w:cs="Arial"/>
          <w:w w:val="105"/>
        </w:rPr>
        <w:t>.</w:t>
      </w:r>
    </w:p>
    <w:p w14:paraId="728A245E" w14:textId="12C0B267" w:rsidR="004F4FDF" w:rsidRPr="00097C63" w:rsidRDefault="004F4FDF" w:rsidP="00FD0B4F">
      <w:pPr>
        <w:pStyle w:val="BodyText"/>
        <w:ind w:left="1440"/>
        <w:jc w:val="both"/>
        <w:rPr>
          <w:rFonts w:ascii="Arial" w:hAnsi="Arial" w:cs="Arial"/>
          <w:color w:val="FF0000"/>
        </w:rPr>
      </w:pPr>
    </w:p>
    <w:p w14:paraId="1185926B" w14:textId="1BFE44CE" w:rsidR="00FD0B4F" w:rsidRDefault="00500DFB" w:rsidP="006228D3">
      <w:pPr>
        <w:pStyle w:val="BodyText"/>
        <w:ind w:left="1440" w:right="795"/>
        <w:jc w:val="both"/>
        <w:rPr>
          <w:rFonts w:ascii="Arial" w:hAnsi="Arial" w:cs="Arial"/>
          <w:w w:val="105"/>
        </w:rPr>
      </w:pPr>
      <w:r w:rsidRPr="006228D3">
        <w:rPr>
          <w:rFonts w:ascii="Arial" w:hAnsi="Arial" w:cs="Arial"/>
          <w:w w:val="105"/>
        </w:rPr>
        <w:t>This DNS is issued under WAC 197-11-340(2).</w:t>
      </w:r>
      <w:r w:rsidR="00FD0B4F">
        <w:rPr>
          <w:rFonts w:ascii="Arial" w:hAnsi="Arial" w:cs="Arial"/>
          <w:w w:val="105"/>
        </w:rPr>
        <w:t xml:space="preserve"> The lead agency will not act on this proposal for</w:t>
      </w:r>
      <w:r w:rsidR="005D443E">
        <w:rPr>
          <w:rFonts w:ascii="Arial" w:hAnsi="Arial" w:cs="Arial"/>
          <w:w w:val="105"/>
        </w:rPr>
        <w:t xml:space="preserve"> </w:t>
      </w:r>
      <w:r w:rsidR="00252E06">
        <w:rPr>
          <w:rFonts w:ascii="Arial" w:hAnsi="Arial" w:cs="Arial"/>
          <w:w w:val="105"/>
        </w:rPr>
        <w:t xml:space="preserve">at least </w:t>
      </w:r>
      <w:r w:rsidR="00FD0B4F">
        <w:rPr>
          <w:rFonts w:ascii="Arial" w:hAnsi="Arial" w:cs="Arial"/>
          <w:w w:val="105"/>
        </w:rPr>
        <w:t>14 days from the date below.</w:t>
      </w:r>
    </w:p>
    <w:p w14:paraId="0EF5EAB7" w14:textId="77777777" w:rsidR="00FD0B4F" w:rsidRDefault="00FD0B4F" w:rsidP="006228D3">
      <w:pPr>
        <w:pStyle w:val="BodyText"/>
        <w:ind w:left="1440" w:right="795"/>
        <w:jc w:val="both"/>
        <w:rPr>
          <w:rFonts w:ascii="Arial" w:hAnsi="Arial" w:cs="Arial"/>
          <w:w w:val="105"/>
        </w:rPr>
      </w:pPr>
    </w:p>
    <w:p w14:paraId="48993293" w14:textId="5A3D9A41" w:rsidR="004F4FDF" w:rsidRDefault="004F4FDF" w:rsidP="006228D3">
      <w:pPr>
        <w:pStyle w:val="BodyText"/>
        <w:spacing w:before="3"/>
        <w:jc w:val="both"/>
        <w:rPr>
          <w:rFonts w:ascii="Arial" w:hAnsi="Arial" w:cs="Arial"/>
          <w:sz w:val="20"/>
        </w:rPr>
      </w:pPr>
    </w:p>
    <w:p w14:paraId="0853A674" w14:textId="77777777" w:rsidR="00FD0B4F" w:rsidRPr="006228D3" w:rsidRDefault="00FD0B4F" w:rsidP="006228D3">
      <w:pPr>
        <w:pStyle w:val="BodyText"/>
        <w:spacing w:before="3"/>
        <w:jc w:val="both"/>
        <w:rPr>
          <w:rFonts w:ascii="Arial" w:hAnsi="Arial" w:cs="Arial"/>
          <w:sz w:val="20"/>
        </w:rPr>
      </w:pPr>
    </w:p>
    <w:p w14:paraId="49311483" w14:textId="62C981D6" w:rsidR="007A3F12" w:rsidRPr="00FC3289" w:rsidRDefault="00361FEA" w:rsidP="00FC3289">
      <w:pPr>
        <w:pStyle w:val="BodyText"/>
        <w:tabs>
          <w:tab w:val="left" w:pos="7214"/>
        </w:tabs>
        <w:spacing w:before="89"/>
        <w:ind w:left="1440"/>
        <w:jc w:val="both"/>
        <w:rPr>
          <w:rFonts w:ascii="Arial" w:hAnsi="Arial" w:cs="Arial"/>
          <w:b/>
          <w:bCs/>
        </w:rPr>
      </w:pPr>
      <w:r>
        <w:rPr>
          <w:rFonts w:ascii="Arial" w:hAnsi="Arial" w:cs="Arial"/>
          <w:b/>
          <w:bCs/>
        </w:rPr>
        <w:pict w14:anchorId="3B0175F6">
          <v:shape id="_x0000_s1026" style="position:absolute;left:0;text-align:left;margin-left:156.15pt;margin-top:-19.5pt;width:173.35pt;height:49.7pt;z-index:-251658240;mso-position-horizontal-relative:page" coordorigin="3123,-390" coordsize="3467,994" o:spt="100" adj="0,,0" path="m3970,95r-90,37l3785,178r-94,50l3603,280r-81,56l3450,388r-60,48l3340,480r-36,38l3281,546r-12,24l3273,592r22,12l3327,598r33,-16l3304,582r,-4l3315,564r4,-3l3333,546r33,-36l3414,466r60,-46l3544,368r80,-52l3710,262r92,-48l3861,186r40,-32l3960,104r10,-9xm3319,561r-4,3l3304,578r,4l3312,570r7,-9xm3979,135r-83,35l3861,186r-26,22l3764,262r-71,52l3621,364r-69,50l3489,458r-57,36l3343,548r-24,13l3312,570r-8,12l3360,582r41,-26l3451,526r58,-38l3573,444r69,-50l3713,344r72,-54l3856,236r67,-54l3979,135xm4301,46r-61,8l4195,64r-72,48l4053,162r-59,44l3946,248r-35,36l3889,314r-5,30l3904,368r38,8l3987,366r55,-18l4060,340r-130,l3927,338r15,-24l3973,278r45,-40l4076,192r68,-48l4219,96r82,-50xm4437,49r-1,l4422,56r-24,8l4384,86r-32,30l4307,150r-54,36l4192,222r-47,26l4092,274r-66,28l3976,320r-32,8l3930,340r130,l4110,318r56,-28l4215,262r61,-38l4332,184r45,-36l4412,116r12,-18l4390,98r38,-6l4433,84r6,-32l4437,49xm4037,-152r-42,4l3947,-138r-52,14l3838,-106r-60,20l3717,-62r-62,28l3594,-4r-59,32l3479,60r-54,32l3375,122r-45,30l3292,178r-33,24l3231,222r-43,36l3160,280r-10,8l3140,294r-6,6l3130,302r-4,6l3125,310r,10l3123,330r15,-2l3144,328r3,-2l3151,322r6,-4l3166,312r12,-8l3191,294r16,-12l3227,264r22,-18l3276,226r70,-50l3391,148,3493,86r57,-32l3608,22r59,-30l3789,-56r59,-20l3902,-94r51,-12l3998,-116r38,-4l4130,-120r-4,-6l4104,-142r-30,-8l4037,-152xm3144,328r-6,l3136,330r5,l3144,328xm4052,64r-75,28l3970,95r-10,9l3901,154r-40,32l3896,170r83,-35l3982,132r52,-48l4052,64xm4290,7r-55,9l4156,32r-87,26l4052,64r-18,20l3982,132r-3,3l3990,130r91,-34l4165,72r30,-8l4199,62r83,-50l4290,7xm4407,16r-4,2l4361,40r-15,32l4360,98r11,l4384,86r10,-16l4380,70r-8,-8l4385,56r15,-2l4401,48r-6,-2l4380,44r54,l4425,26,4407,16xm4428,92r-38,6l4424,98r4,-6xm4130,-120r-65,l4086,-114r14,6l4109,-98r2,14l4103,-60r-19,34l4053,14r-42,44l3970,95r7,-3l4052,64r26,-28l4111,-6r21,-38l4142,-74r-2,-28l4130,-120xm6589,-90r-122,l6007,-84r-742,26l5113,-50r-145,14l4831,-18,4706,,4503,36r-66,13l4439,52r-6,32l4428,92r11,-2l4511,76r92,-14l4713,44,4837,26,4972,10,5116,-2r490,-18l6230,-34r359,-2l6589,-90xm4400,54r-15,2l4372,62r8,8l4398,64r1,-2l4400,54xm4398,64r-18,6l4394,70r4,-6xm4353,4r-53,2l4290,7r-8,5l4199,62r-4,2l4240,54r61,-8l4372,7,4353,4xm4436,49r-4,1l4400,54r-1,8l4398,64r24,-8l4436,49xm4434,44r-54,l4395,46r6,2l4400,54r32,-4l4436,49r1,l4434,44xm4437,49r-1,l4437,49r,xm5304,-360r-35,l5267,-348r-30,18l5187,-320r-8,2l5138,-296r-99,46l4921,-198,4668,-92r-112,48l4407,16r18,10l4437,49r45,-23l4569,-14r111,-48l5054,-214r101,-40l5233,-290r49,-26l5308,-336r-4,-24xm4372,7r-71,39l4302,46r47,-2l4359,44r2,-4l4403,18r4,-2l4395,10,4372,7xm5270,-390r-42,6l5174,-372r-66,20l5030,-326r-85,30l4755,-218r-98,42l4558,-132r-188,94l4290,7r10,-1l4353,4r24,l4388,-2r91,-46l4576,-92r99,-42l4774,-174r187,-74l5046,-276r133,-42l5211,-334r45,-26l5304,-360r-1,-10l5270,-390xm4377,4r-24,l4372,7r5,-3xm5269,-360r-13,l5211,-334r-32,16l5187,-320r50,-10l5267,-348r2,-12xe" fillcolor="#0000a0" stroked="f">
            <v:stroke joinstyle="round"/>
            <v:formulas/>
            <v:path arrowok="t" o:connecttype="segments"/>
            <w10:wrap anchorx="page"/>
          </v:shape>
        </w:pict>
      </w:r>
      <w:r w:rsidR="00500DFB" w:rsidRPr="00BD58CF">
        <w:rPr>
          <w:rFonts w:ascii="Arial" w:hAnsi="Arial" w:cs="Arial"/>
          <w:b/>
          <w:bCs/>
          <w:w w:val="120"/>
        </w:rPr>
        <w:t>Signature:</w:t>
      </w:r>
      <w:r w:rsidR="00500DFB" w:rsidRPr="00BD58CF">
        <w:rPr>
          <w:rFonts w:ascii="Arial" w:hAnsi="Arial" w:cs="Arial"/>
          <w:b/>
          <w:bCs/>
        </w:rPr>
        <w:t xml:space="preserve"> </w:t>
      </w:r>
      <w:r w:rsidR="00500DFB" w:rsidRPr="00BD58CF">
        <w:rPr>
          <w:rFonts w:ascii="Arial" w:hAnsi="Arial" w:cs="Arial"/>
          <w:b/>
          <w:bCs/>
          <w:spacing w:val="14"/>
        </w:rPr>
        <w:t xml:space="preserve"> </w:t>
      </w:r>
      <w:r w:rsidR="00500DFB" w:rsidRPr="00BD58CF">
        <w:rPr>
          <w:rFonts w:ascii="Arial" w:hAnsi="Arial" w:cs="Arial"/>
          <w:b/>
          <w:bCs/>
          <w:w w:val="99"/>
          <w:u w:val="single"/>
        </w:rPr>
        <w:t xml:space="preserve"> </w:t>
      </w:r>
      <w:r w:rsidR="00500DFB" w:rsidRPr="00BD58CF">
        <w:rPr>
          <w:rFonts w:ascii="Arial" w:hAnsi="Arial" w:cs="Arial"/>
          <w:b/>
          <w:bCs/>
          <w:u w:val="single"/>
        </w:rPr>
        <w:tab/>
      </w:r>
      <w:r w:rsidR="00FC3289">
        <w:rPr>
          <w:rFonts w:ascii="Arial" w:hAnsi="Arial" w:cs="Arial"/>
          <w:b/>
          <w:bCs/>
        </w:rPr>
        <w:t xml:space="preserve">   </w:t>
      </w:r>
      <w:r w:rsidR="00500DFB" w:rsidRPr="00BD58CF">
        <w:rPr>
          <w:rFonts w:ascii="Arial" w:hAnsi="Arial" w:cs="Arial"/>
          <w:b/>
          <w:bCs/>
          <w:w w:val="110"/>
        </w:rPr>
        <w:t>Date:</w:t>
      </w:r>
      <w:r w:rsidR="00500DFB" w:rsidRPr="006228D3">
        <w:rPr>
          <w:rFonts w:ascii="Arial" w:hAnsi="Arial" w:cs="Arial"/>
          <w:w w:val="110"/>
        </w:rPr>
        <w:t xml:space="preserve"> </w:t>
      </w:r>
      <w:r w:rsidR="00252A67">
        <w:rPr>
          <w:rFonts w:ascii="Arial" w:hAnsi="Arial" w:cs="Arial"/>
          <w:w w:val="110"/>
          <w:u w:val="single"/>
        </w:rPr>
        <w:t>March 9</w:t>
      </w:r>
      <w:r w:rsidR="00FC3289">
        <w:rPr>
          <w:rFonts w:ascii="Arial" w:hAnsi="Arial" w:cs="Arial"/>
          <w:w w:val="110"/>
          <w:u w:val="single"/>
        </w:rPr>
        <w:t>, 202</w:t>
      </w:r>
      <w:r w:rsidR="00252A67">
        <w:rPr>
          <w:rFonts w:ascii="Arial" w:hAnsi="Arial" w:cs="Arial"/>
          <w:w w:val="110"/>
          <w:u w:val="single"/>
        </w:rPr>
        <w:t>1</w:t>
      </w:r>
    </w:p>
    <w:sectPr w:rsidR="007A3F12" w:rsidRPr="00FC3289">
      <w:pgSz w:w="12240" w:h="15840"/>
      <w:pgMar w:top="1340" w:right="130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F4608" w14:textId="77777777" w:rsidR="00F44750" w:rsidRDefault="00F44750" w:rsidP="00F44750">
      <w:r>
        <w:separator/>
      </w:r>
    </w:p>
  </w:endnote>
  <w:endnote w:type="continuationSeparator" w:id="0">
    <w:p w14:paraId="6678BCF6" w14:textId="77777777" w:rsidR="00F44750" w:rsidRDefault="00F44750" w:rsidP="00F4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DDFC0" w14:textId="77777777" w:rsidR="00F44750" w:rsidRDefault="00F44750" w:rsidP="00F44750">
      <w:r>
        <w:separator/>
      </w:r>
    </w:p>
  </w:footnote>
  <w:footnote w:type="continuationSeparator" w:id="0">
    <w:p w14:paraId="377909EF" w14:textId="77777777" w:rsidR="00F44750" w:rsidRDefault="00F44750" w:rsidP="00F4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92EF3"/>
    <w:multiLevelType w:val="hybridMultilevel"/>
    <w:tmpl w:val="DD3E3184"/>
    <w:lvl w:ilvl="0" w:tplc="04090001">
      <w:start w:val="1"/>
      <w:numFmt w:val="bullet"/>
      <w:lvlText w:val=""/>
      <w:lvlJc w:val="left"/>
      <w:pPr>
        <w:ind w:left="2160" w:hanging="360"/>
      </w:pPr>
      <w:rPr>
        <w:rFonts w:ascii="Symbol" w:hAnsi="Symbol" w:hint="default"/>
        <w:w w:val="58"/>
        <w:sz w:val="24"/>
        <w:szCs w:val="24"/>
      </w:rPr>
    </w:lvl>
    <w:lvl w:ilvl="1" w:tplc="DAAEEC08">
      <w:numFmt w:val="bullet"/>
      <w:lvlText w:val="•"/>
      <w:lvlJc w:val="left"/>
      <w:pPr>
        <w:ind w:left="3038" w:hanging="360"/>
      </w:pPr>
      <w:rPr>
        <w:rFonts w:hint="default"/>
      </w:rPr>
    </w:lvl>
    <w:lvl w:ilvl="2" w:tplc="765643E6">
      <w:numFmt w:val="bullet"/>
      <w:lvlText w:val="•"/>
      <w:lvlJc w:val="left"/>
      <w:pPr>
        <w:ind w:left="3916" w:hanging="360"/>
      </w:pPr>
      <w:rPr>
        <w:rFonts w:hint="default"/>
      </w:rPr>
    </w:lvl>
    <w:lvl w:ilvl="3" w:tplc="1A1E552E">
      <w:numFmt w:val="bullet"/>
      <w:lvlText w:val="•"/>
      <w:lvlJc w:val="left"/>
      <w:pPr>
        <w:ind w:left="4794" w:hanging="360"/>
      </w:pPr>
      <w:rPr>
        <w:rFonts w:hint="default"/>
      </w:rPr>
    </w:lvl>
    <w:lvl w:ilvl="4" w:tplc="19B81DC0">
      <w:numFmt w:val="bullet"/>
      <w:lvlText w:val="•"/>
      <w:lvlJc w:val="left"/>
      <w:pPr>
        <w:ind w:left="5672" w:hanging="360"/>
      </w:pPr>
      <w:rPr>
        <w:rFonts w:hint="default"/>
      </w:rPr>
    </w:lvl>
    <w:lvl w:ilvl="5" w:tplc="CD249CF2">
      <w:numFmt w:val="bullet"/>
      <w:lvlText w:val="•"/>
      <w:lvlJc w:val="left"/>
      <w:pPr>
        <w:ind w:left="6550" w:hanging="360"/>
      </w:pPr>
      <w:rPr>
        <w:rFonts w:hint="default"/>
      </w:rPr>
    </w:lvl>
    <w:lvl w:ilvl="6" w:tplc="9B1E7396">
      <w:numFmt w:val="bullet"/>
      <w:lvlText w:val="•"/>
      <w:lvlJc w:val="left"/>
      <w:pPr>
        <w:ind w:left="7428" w:hanging="360"/>
      </w:pPr>
      <w:rPr>
        <w:rFonts w:hint="default"/>
      </w:rPr>
    </w:lvl>
    <w:lvl w:ilvl="7" w:tplc="A08C8E5E">
      <w:numFmt w:val="bullet"/>
      <w:lvlText w:val="•"/>
      <w:lvlJc w:val="left"/>
      <w:pPr>
        <w:ind w:left="8306" w:hanging="360"/>
      </w:pPr>
      <w:rPr>
        <w:rFonts w:hint="default"/>
      </w:rPr>
    </w:lvl>
    <w:lvl w:ilvl="8" w:tplc="171CDE28">
      <w:numFmt w:val="bullet"/>
      <w:lvlText w:val="•"/>
      <w:lvlJc w:val="left"/>
      <w:pPr>
        <w:ind w:left="9184" w:hanging="360"/>
      </w:pPr>
      <w:rPr>
        <w:rFonts w:hint="default"/>
      </w:rPr>
    </w:lvl>
  </w:abstractNum>
  <w:abstractNum w:abstractNumId="1" w15:restartNumberingAfterBreak="0">
    <w:nsid w:val="6E101ABD"/>
    <w:multiLevelType w:val="hybridMultilevel"/>
    <w:tmpl w:val="E3FE4394"/>
    <w:lvl w:ilvl="0" w:tplc="17ACA48A">
      <w:numFmt w:val="bullet"/>
      <w:lvlText w:val=""/>
      <w:lvlJc w:val="left"/>
      <w:pPr>
        <w:ind w:left="2160" w:hanging="360"/>
      </w:pPr>
      <w:rPr>
        <w:rFonts w:ascii="Times New Roman" w:eastAsia="Times New Roman" w:hAnsi="Times New Roman" w:cs="Times New Roman" w:hint="default"/>
        <w:w w:val="58"/>
        <w:sz w:val="24"/>
        <w:szCs w:val="24"/>
      </w:rPr>
    </w:lvl>
    <w:lvl w:ilvl="1" w:tplc="DAAEEC08">
      <w:numFmt w:val="bullet"/>
      <w:lvlText w:val="•"/>
      <w:lvlJc w:val="left"/>
      <w:pPr>
        <w:ind w:left="3038" w:hanging="360"/>
      </w:pPr>
      <w:rPr>
        <w:rFonts w:hint="default"/>
      </w:rPr>
    </w:lvl>
    <w:lvl w:ilvl="2" w:tplc="765643E6">
      <w:numFmt w:val="bullet"/>
      <w:lvlText w:val="•"/>
      <w:lvlJc w:val="left"/>
      <w:pPr>
        <w:ind w:left="3916" w:hanging="360"/>
      </w:pPr>
      <w:rPr>
        <w:rFonts w:hint="default"/>
      </w:rPr>
    </w:lvl>
    <w:lvl w:ilvl="3" w:tplc="1A1E552E">
      <w:numFmt w:val="bullet"/>
      <w:lvlText w:val="•"/>
      <w:lvlJc w:val="left"/>
      <w:pPr>
        <w:ind w:left="4794" w:hanging="360"/>
      </w:pPr>
      <w:rPr>
        <w:rFonts w:hint="default"/>
      </w:rPr>
    </w:lvl>
    <w:lvl w:ilvl="4" w:tplc="19B81DC0">
      <w:numFmt w:val="bullet"/>
      <w:lvlText w:val="•"/>
      <w:lvlJc w:val="left"/>
      <w:pPr>
        <w:ind w:left="5672" w:hanging="360"/>
      </w:pPr>
      <w:rPr>
        <w:rFonts w:hint="default"/>
      </w:rPr>
    </w:lvl>
    <w:lvl w:ilvl="5" w:tplc="CD249CF2">
      <w:numFmt w:val="bullet"/>
      <w:lvlText w:val="•"/>
      <w:lvlJc w:val="left"/>
      <w:pPr>
        <w:ind w:left="6550" w:hanging="360"/>
      </w:pPr>
      <w:rPr>
        <w:rFonts w:hint="default"/>
      </w:rPr>
    </w:lvl>
    <w:lvl w:ilvl="6" w:tplc="9B1E7396">
      <w:numFmt w:val="bullet"/>
      <w:lvlText w:val="•"/>
      <w:lvlJc w:val="left"/>
      <w:pPr>
        <w:ind w:left="7428" w:hanging="360"/>
      </w:pPr>
      <w:rPr>
        <w:rFonts w:hint="default"/>
      </w:rPr>
    </w:lvl>
    <w:lvl w:ilvl="7" w:tplc="A08C8E5E">
      <w:numFmt w:val="bullet"/>
      <w:lvlText w:val="•"/>
      <w:lvlJc w:val="left"/>
      <w:pPr>
        <w:ind w:left="8306" w:hanging="360"/>
      </w:pPr>
      <w:rPr>
        <w:rFonts w:hint="default"/>
      </w:rPr>
    </w:lvl>
    <w:lvl w:ilvl="8" w:tplc="171CDE28">
      <w:numFmt w:val="bullet"/>
      <w:lvlText w:val="•"/>
      <w:lvlJc w:val="left"/>
      <w:pPr>
        <w:ind w:left="9184" w:hanging="360"/>
      </w:pPr>
      <w:rPr>
        <w:rFonts w:hint="default"/>
      </w:rPr>
    </w:lvl>
  </w:abstractNum>
  <w:abstractNum w:abstractNumId="2" w15:restartNumberingAfterBreak="0">
    <w:nsid w:val="7AE45E02"/>
    <w:multiLevelType w:val="hybridMultilevel"/>
    <w:tmpl w:val="916442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4F4FDF"/>
    <w:rsid w:val="00004A70"/>
    <w:rsid w:val="00075CE1"/>
    <w:rsid w:val="00094204"/>
    <w:rsid w:val="00097C63"/>
    <w:rsid w:val="00170E0C"/>
    <w:rsid w:val="00252A67"/>
    <w:rsid w:val="00252E06"/>
    <w:rsid w:val="0028477C"/>
    <w:rsid w:val="003245F1"/>
    <w:rsid w:val="00361FEA"/>
    <w:rsid w:val="00452916"/>
    <w:rsid w:val="00455B74"/>
    <w:rsid w:val="004633FD"/>
    <w:rsid w:val="004739D2"/>
    <w:rsid w:val="004A5030"/>
    <w:rsid w:val="004F4FDF"/>
    <w:rsid w:val="00500DFB"/>
    <w:rsid w:val="005D443E"/>
    <w:rsid w:val="006228D3"/>
    <w:rsid w:val="00670837"/>
    <w:rsid w:val="007A3F12"/>
    <w:rsid w:val="007C34BD"/>
    <w:rsid w:val="008A3B06"/>
    <w:rsid w:val="008B77A1"/>
    <w:rsid w:val="009C3980"/>
    <w:rsid w:val="00A17F52"/>
    <w:rsid w:val="00A4243B"/>
    <w:rsid w:val="00A6056F"/>
    <w:rsid w:val="00AA160C"/>
    <w:rsid w:val="00B9123F"/>
    <w:rsid w:val="00BD58CF"/>
    <w:rsid w:val="00C921F9"/>
    <w:rsid w:val="00E06238"/>
    <w:rsid w:val="00E27038"/>
    <w:rsid w:val="00E654D9"/>
    <w:rsid w:val="00F231C2"/>
    <w:rsid w:val="00F238D9"/>
    <w:rsid w:val="00F44750"/>
    <w:rsid w:val="00FA51E5"/>
    <w:rsid w:val="00FC3289"/>
    <w:rsid w:val="00FD0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F15C2A"/>
  <w15:docId w15:val="{9404780F-ABAC-4A5D-A7F2-0146AE51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228D3"/>
    <w:rPr>
      <w:color w:val="0000FF" w:themeColor="hyperlink"/>
      <w:u w:val="single"/>
    </w:rPr>
  </w:style>
  <w:style w:type="character" w:styleId="UnresolvedMention">
    <w:name w:val="Unresolved Mention"/>
    <w:basedOn w:val="DefaultParagraphFont"/>
    <w:uiPriority w:val="99"/>
    <w:semiHidden/>
    <w:unhideWhenUsed/>
    <w:rsid w:val="006228D3"/>
    <w:rPr>
      <w:color w:val="605E5C"/>
      <w:shd w:val="clear" w:color="auto" w:fill="E1DFDD"/>
    </w:rPr>
  </w:style>
  <w:style w:type="paragraph" w:styleId="BalloonText">
    <w:name w:val="Balloon Text"/>
    <w:basedOn w:val="Normal"/>
    <w:link w:val="BalloonTextChar"/>
    <w:uiPriority w:val="99"/>
    <w:semiHidden/>
    <w:unhideWhenUsed/>
    <w:rsid w:val="008B77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7A1"/>
    <w:rPr>
      <w:rFonts w:ascii="Segoe UI" w:eastAsia="Times New Roman" w:hAnsi="Segoe UI" w:cs="Segoe UI"/>
      <w:sz w:val="18"/>
      <w:szCs w:val="18"/>
    </w:rPr>
  </w:style>
  <w:style w:type="paragraph" w:styleId="Header">
    <w:name w:val="header"/>
    <w:basedOn w:val="Normal"/>
    <w:link w:val="HeaderChar"/>
    <w:uiPriority w:val="99"/>
    <w:unhideWhenUsed/>
    <w:rsid w:val="00F44750"/>
    <w:pPr>
      <w:tabs>
        <w:tab w:val="center" w:pos="4680"/>
        <w:tab w:val="right" w:pos="9360"/>
      </w:tabs>
    </w:pPr>
  </w:style>
  <w:style w:type="character" w:customStyle="1" w:styleId="HeaderChar">
    <w:name w:val="Header Char"/>
    <w:basedOn w:val="DefaultParagraphFont"/>
    <w:link w:val="Header"/>
    <w:uiPriority w:val="99"/>
    <w:rsid w:val="00F44750"/>
    <w:rPr>
      <w:rFonts w:ascii="Times New Roman" w:eastAsia="Times New Roman" w:hAnsi="Times New Roman" w:cs="Times New Roman"/>
    </w:rPr>
  </w:style>
  <w:style w:type="paragraph" w:styleId="Footer">
    <w:name w:val="footer"/>
    <w:basedOn w:val="Normal"/>
    <w:link w:val="FooterChar"/>
    <w:uiPriority w:val="99"/>
    <w:unhideWhenUsed/>
    <w:rsid w:val="00F44750"/>
    <w:pPr>
      <w:tabs>
        <w:tab w:val="center" w:pos="4680"/>
        <w:tab w:val="right" w:pos="9360"/>
      </w:tabs>
    </w:pPr>
  </w:style>
  <w:style w:type="character" w:customStyle="1" w:styleId="FooterChar">
    <w:name w:val="Footer Char"/>
    <w:basedOn w:val="DefaultParagraphFont"/>
    <w:link w:val="Footer"/>
    <w:uiPriority w:val="99"/>
    <w:rsid w:val="00F4475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floyd@mcknze.com,360-787-736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E4F44-DBD1-4329-BDB7-01E51C9F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KSD Revised DNS 190513_draft.docx</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KSD Revised DNS 190513_draft.docx</dc:title>
  <dc:creator>jmf</dc:creator>
  <cp:lastModifiedBy>John Floyd</cp:lastModifiedBy>
  <cp:revision>9</cp:revision>
  <cp:lastPrinted>2020-10-15T23:58:00Z</cp:lastPrinted>
  <dcterms:created xsi:type="dcterms:W3CDTF">2021-03-05T01:31:00Z</dcterms:created>
  <dcterms:modified xsi:type="dcterms:W3CDTF">2021-03-05T02:03:00Z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LastSaved">
    <vt:filetime>2019-06-13T00:00:00Z</vt:filetime>
  </property>
</Properties>
</file>